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873" w:rsidRPr="009A0873" w:rsidRDefault="009A0873" w:rsidP="009A0873">
      <w:pPr>
        <w:shd w:val="clear" w:color="auto" w:fill="FFFFFF"/>
        <w:spacing w:after="0" w:line="240" w:lineRule="auto"/>
        <w:jc w:val="center"/>
        <w:rPr>
          <w:rFonts w:ascii="Roboto" w:eastAsia="Times New Roman" w:hAnsi="Roboto" w:cs="Times New Roman"/>
          <w:color w:val="000000"/>
          <w:sz w:val="24"/>
          <w:szCs w:val="24"/>
        </w:rPr>
      </w:pPr>
      <w:r w:rsidRPr="009A0873">
        <w:rPr>
          <w:rFonts w:ascii="Roboto" w:eastAsia="Times New Roman" w:hAnsi="Roboto" w:cs="Times New Roman"/>
          <w:b/>
          <w:bCs/>
          <w:color w:val="000000"/>
          <w:sz w:val="29"/>
          <w:szCs w:val="29"/>
        </w:rPr>
        <w:t>CỘNG HOÀ XÃ HỘI CHỦ NGHĨA VIỆT NAM</w:t>
      </w:r>
    </w:p>
    <w:p w:rsidR="009A0873" w:rsidRPr="009A0873" w:rsidRDefault="009A0873" w:rsidP="009A0873">
      <w:pPr>
        <w:shd w:val="clear" w:color="auto" w:fill="FFFFFF"/>
        <w:spacing w:after="0" w:line="240" w:lineRule="auto"/>
        <w:jc w:val="center"/>
        <w:rPr>
          <w:rFonts w:ascii="Roboto" w:eastAsia="Times New Roman" w:hAnsi="Roboto" w:cs="Times New Roman"/>
          <w:color w:val="000000"/>
          <w:sz w:val="24"/>
          <w:szCs w:val="24"/>
        </w:rPr>
      </w:pPr>
      <w:r w:rsidRPr="009A0873">
        <w:rPr>
          <w:rFonts w:ascii="Roboto" w:eastAsia="Times New Roman" w:hAnsi="Roboto" w:cs="Times New Roman"/>
          <w:b/>
          <w:bCs/>
          <w:i/>
          <w:iCs/>
          <w:color w:val="000000"/>
          <w:sz w:val="29"/>
          <w:szCs w:val="29"/>
        </w:rPr>
        <w:t>Độc lập – Tự do – Hạnh phúc</w:t>
      </w:r>
    </w:p>
    <w:p w:rsidR="009A0873" w:rsidRPr="009A0873" w:rsidRDefault="009A0873" w:rsidP="009A0873">
      <w:pPr>
        <w:shd w:val="clear" w:color="auto" w:fill="FFFFFF"/>
        <w:spacing w:after="0" w:line="240" w:lineRule="auto"/>
        <w:jc w:val="center"/>
        <w:rPr>
          <w:rFonts w:ascii="Roboto" w:eastAsia="Times New Roman" w:hAnsi="Roboto" w:cs="Times New Roman"/>
          <w:color w:val="000000"/>
          <w:sz w:val="24"/>
          <w:szCs w:val="24"/>
        </w:rPr>
      </w:pPr>
      <w:r w:rsidRPr="009A0873">
        <w:rPr>
          <w:rFonts w:ascii="Roboto" w:eastAsia="Times New Roman" w:hAnsi="Roboto" w:cs="Times New Roman"/>
          <w:b/>
          <w:bCs/>
          <w:i/>
          <w:iCs/>
          <w:color w:val="000000"/>
          <w:sz w:val="29"/>
          <w:szCs w:val="29"/>
        </w:rPr>
        <w:t>—–*****—–</w:t>
      </w:r>
    </w:p>
    <w:p w:rsidR="009A0873" w:rsidRPr="009A0873" w:rsidRDefault="009A0873" w:rsidP="009A0873">
      <w:pPr>
        <w:shd w:val="clear" w:color="auto" w:fill="FFFFFF"/>
        <w:spacing w:after="0" w:line="240" w:lineRule="auto"/>
        <w:jc w:val="center"/>
        <w:rPr>
          <w:rFonts w:ascii="Roboto" w:eastAsia="Times New Roman" w:hAnsi="Roboto" w:cs="Times New Roman"/>
          <w:color w:val="000000"/>
          <w:sz w:val="24"/>
          <w:szCs w:val="24"/>
        </w:rPr>
      </w:pPr>
      <w:r w:rsidRPr="009A0873">
        <w:rPr>
          <w:rFonts w:ascii="Roboto" w:eastAsia="Times New Roman" w:hAnsi="Roboto" w:cs="Times New Roman"/>
          <w:b/>
          <w:bCs/>
          <w:color w:val="000000"/>
          <w:sz w:val="29"/>
          <w:szCs w:val="29"/>
        </w:rPr>
        <w:t>HỢP ĐỒNG KINH TẾ</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Số: 150121/HĐKT- QNP/TTBG</w:t>
      </w:r>
    </w:p>
    <w:p w:rsidR="009A0873" w:rsidRPr="009A0873" w:rsidRDefault="009A0873" w:rsidP="009A0873">
      <w:pPr>
        <w:numPr>
          <w:ilvl w:val="0"/>
          <w:numId w:val="1"/>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i/>
          <w:iCs/>
          <w:color w:val="000000"/>
          <w:sz w:val="29"/>
          <w:szCs w:val="29"/>
        </w:rPr>
        <w:t>Căn cứ bộ luật dân sự được nước Cộng hoà xã hội chủ nghĩa Việt Nam khoá VI, kỳ họp thứ VII thông qua ngày 14/06/2005 có hiệu lực thi hành từ ngày 01/01/2006.</w:t>
      </w:r>
    </w:p>
    <w:p w:rsidR="009A0873" w:rsidRPr="009A0873" w:rsidRDefault="009A0873" w:rsidP="009A0873">
      <w:pPr>
        <w:numPr>
          <w:ilvl w:val="0"/>
          <w:numId w:val="1"/>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i/>
          <w:iCs/>
          <w:color w:val="000000"/>
          <w:sz w:val="29"/>
          <w:szCs w:val="29"/>
        </w:rPr>
        <w:t>Căn cứ vào luật thương mại được Quốc hội nước Cộng hoà xã hội chủ nghĩa Việt Nam khoá VI, kỳ họp thứ VII thông qua ngày 14/06/2005, có hiệu lực thi hành từ ngày 01/01/2006.</w:t>
      </w:r>
    </w:p>
    <w:p w:rsidR="009A0873" w:rsidRPr="009A0873" w:rsidRDefault="009A0873" w:rsidP="009A0873">
      <w:pPr>
        <w:numPr>
          <w:ilvl w:val="0"/>
          <w:numId w:val="1"/>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i/>
          <w:iCs/>
          <w:color w:val="000000"/>
          <w:sz w:val="29"/>
          <w:szCs w:val="29"/>
        </w:rPr>
        <w:t>Căn cứ vào năng lực và khả năng của hai bên.</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i/>
          <w:iCs/>
          <w:color w:val="000000"/>
          <w:sz w:val="29"/>
          <w:szCs w:val="29"/>
        </w:rPr>
        <w:t>Hôm nay, ngày  tháng  năm 2021, chúng tôi gồm các bên dưới đây:</w:t>
      </w:r>
    </w:p>
    <w:p w:rsidR="009A0873" w:rsidRPr="009A0873" w:rsidRDefault="009A0873" w:rsidP="009A0873">
      <w:pPr>
        <w:shd w:val="clear" w:color="auto" w:fill="FFFFFF"/>
        <w:spacing w:after="0" w:line="240" w:lineRule="auto"/>
        <w:outlineLvl w:val="1"/>
        <w:rPr>
          <w:rFonts w:ascii="Roboto" w:eastAsia="Times New Roman" w:hAnsi="Roboto" w:cs="Times New Roman"/>
          <w:color w:val="000000"/>
          <w:szCs w:val="28"/>
        </w:rPr>
      </w:pPr>
      <w:r w:rsidRPr="009A0873">
        <w:rPr>
          <w:rFonts w:ascii="Roboto" w:eastAsia="Times New Roman" w:hAnsi="Roboto" w:cs="Times New Roman"/>
          <w:color w:val="0000FF"/>
          <w:szCs w:val="28"/>
        </w:rPr>
        <w:t>BÊN A (BÊN MUA):</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Địa chỉ             :          </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Mã số thuế      :</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Đại diện          :</w:t>
      </w:r>
    </w:p>
    <w:p w:rsidR="009A0873" w:rsidRPr="009A0873" w:rsidRDefault="009A0873" w:rsidP="009A0873">
      <w:pPr>
        <w:shd w:val="clear" w:color="auto" w:fill="FFFFFF"/>
        <w:spacing w:after="0" w:line="240" w:lineRule="auto"/>
        <w:outlineLvl w:val="1"/>
        <w:rPr>
          <w:rFonts w:ascii="Roboto" w:eastAsia="Times New Roman" w:hAnsi="Roboto" w:cs="Times New Roman"/>
          <w:color w:val="000000"/>
          <w:szCs w:val="28"/>
        </w:rPr>
      </w:pPr>
      <w:r w:rsidRPr="009A0873">
        <w:rPr>
          <w:rFonts w:ascii="Roboto" w:eastAsia="Times New Roman" w:hAnsi="Roboto" w:cs="Times New Roman"/>
          <w:color w:val="0000FF"/>
          <w:szCs w:val="28"/>
        </w:rPr>
        <w:t>BÊN B (BÊN BÁN): CÔNG TY TNHH MTV QUANG NAM PHÁT</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Địa chỉ             : Thôn Mỹ -Nội, Xã Bắc Hồng-Huyện Đông Anh-Hà Nội </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Điện thoại       : 0977268520</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Mã số thuế      : 0 1 0 5 2 1 1 3 6 8</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Đại diện          : </w:t>
      </w:r>
      <w:r w:rsidRPr="009A0873">
        <w:rPr>
          <w:rFonts w:ascii="Roboto" w:eastAsia="Times New Roman" w:hAnsi="Roboto" w:cs="Times New Roman"/>
          <w:b/>
          <w:bCs/>
          <w:color w:val="000000"/>
          <w:sz w:val="29"/>
          <w:szCs w:val="29"/>
        </w:rPr>
        <w:t>Ông Lê Văn Nam</w:t>
      </w:r>
      <w:r w:rsidRPr="009A0873">
        <w:rPr>
          <w:rFonts w:ascii="Roboto" w:eastAsia="Times New Roman" w:hAnsi="Roboto" w:cs="Times New Roman"/>
          <w:color w:val="000000"/>
          <w:sz w:val="29"/>
          <w:szCs w:val="29"/>
        </w:rPr>
        <w:t>                            Chức vụ: </w:t>
      </w:r>
      <w:r w:rsidRPr="009A0873">
        <w:rPr>
          <w:rFonts w:ascii="Roboto" w:eastAsia="Times New Roman" w:hAnsi="Roboto" w:cs="Times New Roman"/>
          <w:b/>
          <w:bCs/>
          <w:color w:val="000000"/>
          <w:sz w:val="29"/>
          <w:szCs w:val="29"/>
        </w:rPr>
        <w:t>Giám Đốc</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Số tài khoản    : 0491000014794 Tại: Ngân hàng Vietcombank, chi nhánh Thăng Long</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Sau khi bàn bạc thống nhất hai bên cùng thoả thuận ký kết hợp đồng kinh tế với những nội dung sau:</w:t>
      </w:r>
    </w:p>
    <w:p w:rsidR="009A0873" w:rsidRPr="009A0873" w:rsidRDefault="009A0873" w:rsidP="009A0873">
      <w:pPr>
        <w:shd w:val="clear" w:color="auto" w:fill="FFFFFF"/>
        <w:spacing w:after="0" w:line="240" w:lineRule="auto"/>
        <w:outlineLvl w:val="1"/>
        <w:rPr>
          <w:rFonts w:ascii="Roboto" w:eastAsia="Times New Roman" w:hAnsi="Roboto" w:cs="Times New Roman"/>
          <w:color w:val="000000"/>
          <w:szCs w:val="28"/>
        </w:rPr>
      </w:pPr>
      <w:r w:rsidRPr="009A0873">
        <w:rPr>
          <w:rFonts w:ascii="Roboto" w:eastAsia="Times New Roman" w:hAnsi="Roboto" w:cs="Times New Roman"/>
          <w:color w:val="0000FF"/>
          <w:szCs w:val="28"/>
        </w:rPr>
        <w:t>Điều I: ĐỐI TƯỢNG CỦA HỢP ĐỒNG:</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Bên A đồng ý giao mặt bằng và bên B nhận cung cấp và thi công kính cường lực cho bên A tại địa chỉ ….</w:t>
      </w:r>
    </w:p>
    <w:p w:rsidR="009A0873" w:rsidRPr="009A0873" w:rsidRDefault="009A0873" w:rsidP="009A0873">
      <w:pPr>
        <w:shd w:val="clear" w:color="auto" w:fill="FFFFFF"/>
        <w:spacing w:after="0" w:line="240" w:lineRule="auto"/>
        <w:outlineLvl w:val="2"/>
        <w:rPr>
          <w:rFonts w:ascii="Roboto" w:eastAsia="Times New Roman" w:hAnsi="Roboto" w:cs="Times New Roman"/>
          <w:b/>
          <w:bCs/>
          <w:color w:val="000000"/>
          <w:sz w:val="30"/>
          <w:szCs w:val="30"/>
        </w:rPr>
      </w:pPr>
      <w:r w:rsidRPr="009A0873">
        <w:rPr>
          <w:rFonts w:ascii="Roboto" w:eastAsia="Times New Roman" w:hAnsi="Roboto" w:cs="Times New Roman"/>
          <w:b/>
          <w:bCs/>
          <w:color w:val="000000"/>
          <w:sz w:val="36"/>
          <w:szCs w:val="36"/>
        </w:rPr>
        <w:t>ĐIỀU II: GIÁ TRỊ HỢP ĐỒNG VÀ PHƯƠNG THỨC THANH TOÁN</w:t>
      </w:r>
    </w:p>
    <w:p w:rsidR="009A0873" w:rsidRPr="009A0873" w:rsidRDefault="009A0873" w:rsidP="009A0873">
      <w:pPr>
        <w:shd w:val="clear" w:color="auto" w:fill="FFFFFF"/>
        <w:spacing w:after="0" w:line="240" w:lineRule="auto"/>
        <w:outlineLvl w:val="3"/>
        <w:rPr>
          <w:rFonts w:ascii="Roboto" w:eastAsia="Times New Roman" w:hAnsi="Roboto" w:cs="Times New Roman"/>
          <w:b/>
          <w:bCs/>
          <w:color w:val="000000"/>
          <w:sz w:val="27"/>
          <w:szCs w:val="27"/>
        </w:rPr>
      </w:pPr>
      <w:r w:rsidRPr="009A0873">
        <w:rPr>
          <w:rFonts w:ascii="Roboto" w:eastAsia="Times New Roman" w:hAnsi="Roboto" w:cs="Times New Roman"/>
          <w:b/>
          <w:bCs/>
          <w:color w:val="000000"/>
          <w:sz w:val="32"/>
          <w:szCs w:val="32"/>
        </w:rPr>
        <w:t>2.1 giá trị hợp đồng:</w:t>
      </w:r>
    </w:p>
    <w:tbl>
      <w:tblPr>
        <w:tblW w:w="12600" w:type="dxa"/>
        <w:tblCellSpacing w:w="15" w:type="dxa"/>
        <w:shd w:val="clear" w:color="auto" w:fill="FFFFFF"/>
        <w:tblCellMar>
          <w:left w:w="0" w:type="dxa"/>
          <w:right w:w="0" w:type="dxa"/>
        </w:tblCellMar>
        <w:tblLook w:val="04A0" w:firstRow="1" w:lastRow="0" w:firstColumn="1" w:lastColumn="0" w:noHBand="0" w:noVBand="1"/>
      </w:tblPr>
      <w:tblGrid>
        <w:gridCol w:w="977"/>
        <w:gridCol w:w="1837"/>
        <w:gridCol w:w="1321"/>
        <w:gridCol w:w="2989"/>
        <w:gridCol w:w="2631"/>
        <w:gridCol w:w="2845"/>
      </w:tblGrid>
      <w:tr w:rsidR="009A0873" w:rsidRPr="009A0873" w:rsidTr="009A0873">
        <w:trPr>
          <w:tblCellSpacing w:w="15" w:type="dxa"/>
        </w:trPr>
        <w:tc>
          <w:tcPr>
            <w:tcW w:w="705" w:type="dxa"/>
            <w:tcBorders>
              <w:bottom w:val="single" w:sz="6" w:space="0" w:color="ECECEC"/>
            </w:tcBorders>
            <w:shd w:val="clear" w:color="auto" w:fill="FFFFFF"/>
            <w:tcMar>
              <w:top w:w="120" w:type="dxa"/>
              <w:left w:w="0" w:type="dxa"/>
              <w:bottom w:w="120" w:type="dxa"/>
              <w:right w:w="120" w:type="dxa"/>
            </w:tcMar>
            <w:vAlign w:val="center"/>
            <w:hideMark/>
          </w:tcPr>
          <w:p w:rsidR="009A0873" w:rsidRPr="009A0873" w:rsidRDefault="009A0873" w:rsidP="009A0873">
            <w:pPr>
              <w:spacing w:after="0" w:line="240" w:lineRule="auto"/>
              <w:rPr>
                <w:rFonts w:ascii="Roboto" w:eastAsia="Times New Roman" w:hAnsi="Roboto" w:cs="Times New Roman"/>
                <w:color w:val="666666"/>
                <w:sz w:val="22"/>
              </w:rPr>
            </w:pPr>
            <w:r w:rsidRPr="009A0873">
              <w:rPr>
                <w:rFonts w:ascii="Roboto" w:eastAsia="Times New Roman" w:hAnsi="Roboto" w:cs="Times New Roman"/>
                <w:b/>
                <w:bCs/>
                <w:color w:val="000000"/>
                <w:sz w:val="26"/>
                <w:szCs w:val="26"/>
              </w:rPr>
              <w:t>STT</w:t>
            </w:r>
          </w:p>
        </w:tc>
        <w:tc>
          <w:tcPr>
            <w:tcW w:w="1365" w:type="dxa"/>
            <w:tcBorders>
              <w:bottom w:val="single" w:sz="6" w:space="0" w:color="ECECEC"/>
            </w:tcBorders>
            <w:shd w:val="clear" w:color="auto" w:fill="FFFFFF"/>
            <w:tcMar>
              <w:top w:w="120" w:type="dxa"/>
              <w:left w:w="120" w:type="dxa"/>
              <w:bottom w:w="120" w:type="dxa"/>
              <w:right w:w="120" w:type="dxa"/>
            </w:tcMar>
            <w:vAlign w:val="center"/>
            <w:hideMark/>
          </w:tcPr>
          <w:p w:rsidR="009A0873" w:rsidRPr="009A0873" w:rsidRDefault="009A0873" w:rsidP="009A0873">
            <w:pPr>
              <w:spacing w:after="0" w:line="240" w:lineRule="auto"/>
              <w:rPr>
                <w:rFonts w:ascii="Roboto" w:eastAsia="Times New Roman" w:hAnsi="Roboto" w:cs="Times New Roman"/>
                <w:color w:val="666666"/>
                <w:sz w:val="22"/>
              </w:rPr>
            </w:pPr>
            <w:r w:rsidRPr="009A0873">
              <w:rPr>
                <w:rFonts w:ascii="Roboto" w:eastAsia="Times New Roman" w:hAnsi="Roboto" w:cs="Times New Roman"/>
                <w:b/>
                <w:bCs/>
                <w:color w:val="000000"/>
                <w:sz w:val="26"/>
                <w:szCs w:val="26"/>
              </w:rPr>
              <w:t>Tên sản phẩm</w:t>
            </w:r>
          </w:p>
        </w:tc>
        <w:tc>
          <w:tcPr>
            <w:tcW w:w="975" w:type="dxa"/>
            <w:tcBorders>
              <w:bottom w:val="single" w:sz="6" w:space="0" w:color="ECECEC"/>
            </w:tcBorders>
            <w:shd w:val="clear" w:color="auto" w:fill="FFFFFF"/>
            <w:tcMar>
              <w:top w:w="120" w:type="dxa"/>
              <w:left w:w="120" w:type="dxa"/>
              <w:bottom w:w="120" w:type="dxa"/>
              <w:right w:w="120" w:type="dxa"/>
            </w:tcMar>
            <w:vAlign w:val="center"/>
            <w:hideMark/>
          </w:tcPr>
          <w:p w:rsidR="009A0873" w:rsidRPr="009A0873" w:rsidRDefault="009A0873" w:rsidP="009A0873">
            <w:pPr>
              <w:spacing w:after="0" w:line="240" w:lineRule="auto"/>
              <w:rPr>
                <w:rFonts w:ascii="Roboto" w:eastAsia="Times New Roman" w:hAnsi="Roboto" w:cs="Times New Roman"/>
                <w:color w:val="666666"/>
                <w:sz w:val="22"/>
              </w:rPr>
            </w:pPr>
            <w:r w:rsidRPr="009A0873">
              <w:rPr>
                <w:rFonts w:ascii="Roboto" w:eastAsia="Times New Roman" w:hAnsi="Roboto" w:cs="Times New Roman"/>
                <w:b/>
                <w:bCs/>
                <w:color w:val="000000"/>
                <w:sz w:val="26"/>
                <w:szCs w:val="26"/>
              </w:rPr>
              <w:t>Quy cách</w:t>
            </w:r>
          </w:p>
        </w:tc>
        <w:tc>
          <w:tcPr>
            <w:tcW w:w="2235" w:type="dxa"/>
            <w:tcBorders>
              <w:bottom w:val="single" w:sz="6" w:space="0" w:color="ECECEC"/>
            </w:tcBorders>
            <w:shd w:val="clear" w:color="auto" w:fill="FFFFFF"/>
            <w:tcMar>
              <w:top w:w="120" w:type="dxa"/>
              <w:left w:w="120" w:type="dxa"/>
              <w:bottom w:w="120" w:type="dxa"/>
              <w:right w:w="120" w:type="dxa"/>
            </w:tcMar>
            <w:vAlign w:val="center"/>
            <w:hideMark/>
          </w:tcPr>
          <w:p w:rsidR="009A0873" w:rsidRPr="009A0873" w:rsidRDefault="009A0873" w:rsidP="009A0873">
            <w:pPr>
              <w:spacing w:after="0" w:line="240" w:lineRule="auto"/>
              <w:rPr>
                <w:rFonts w:ascii="Roboto" w:eastAsia="Times New Roman" w:hAnsi="Roboto" w:cs="Times New Roman"/>
                <w:color w:val="666666"/>
                <w:sz w:val="22"/>
              </w:rPr>
            </w:pPr>
            <w:r w:rsidRPr="009A0873">
              <w:rPr>
                <w:rFonts w:ascii="Roboto" w:eastAsia="Times New Roman" w:hAnsi="Roboto" w:cs="Times New Roman"/>
                <w:b/>
                <w:bCs/>
                <w:color w:val="000000"/>
                <w:sz w:val="26"/>
                <w:szCs w:val="26"/>
              </w:rPr>
              <w:t>Thông số kỹ thuật</w:t>
            </w:r>
          </w:p>
        </w:tc>
        <w:tc>
          <w:tcPr>
            <w:tcW w:w="1965" w:type="dxa"/>
            <w:tcBorders>
              <w:bottom w:val="single" w:sz="6" w:space="0" w:color="ECECEC"/>
            </w:tcBorders>
            <w:shd w:val="clear" w:color="auto" w:fill="FFFFFF"/>
            <w:tcMar>
              <w:top w:w="120" w:type="dxa"/>
              <w:left w:w="120" w:type="dxa"/>
              <w:bottom w:w="120" w:type="dxa"/>
              <w:right w:w="120" w:type="dxa"/>
            </w:tcMar>
            <w:vAlign w:val="center"/>
            <w:hideMark/>
          </w:tcPr>
          <w:p w:rsidR="009A0873" w:rsidRPr="009A0873" w:rsidRDefault="009A0873" w:rsidP="009A0873">
            <w:pPr>
              <w:spacing w:after="0" w:line="240" w:lineRule="auto"/>
              <w:rPr>
                <w:rFonts w:ascii="Roboto" w:eastAsia="Times New Roman" w:hAnsi="Roboto" w:cs="Times New Roman"/>
                <w:color w:val="666666"/>
                <w:sz w:val="22"/>
              </w:rPr>
            </w:pPr>
            <w:r w:rsidRPr="009A0873">
              <w:rPr>
                <w:rFonts w:ascii="Roboto" w:eastAsia="Times New Roman" w:hAnsi="Roboto" w:cs="Times New Roman"/>
                <w:b/>
                <w:bCs/>
                <w:color w:val="000000"/>
                <w:sz w:val="26"/>
                <w:szCs w:val="26"/>
              </w:rPr>
              <w:t>Thời gian giao hàng – lắp đặt</w:t>
            </w:r>
          </w:p>
        </w:tc>
        <w:tc>
          <w:tcPr>
            <w:tcW w:w="2115" w:type="dxa"/>
            <w:tcBorders>
              <w:bottom w:val="single" w:sz="6" w:space="0" w:color="ECECEC"/>
            </w:tcBorders>
            <w:shd w:val="clear" w:color="auto" w:fill="FFFFFF"/>
            <w:tcMar>
              <w:top w:w="120" w:type="dxa"/>
              <w:left w:w="120" w:type="dxa"/>
              <w:bottom w:w="120" w:type="dxa"/>
              <w:right w:w="0" w:type="dxa"/>
            </w:tcMar>
            <w:vAlign w:val="center"/>
            <w:hideMark/>
          </w:tcPr>
          <w:p w:rsidR="009A0873" w:rsidRPr="009A0873" w:rsidRDefault="009A0873" w:rsidP="009A0873">
            <w:pPr>
              <w:spacing w:after="0" w:line="240" w:lineRule="auto"/>
              <w:rPr>
                <w:rFonts w:ascii="Roboto" w:eastAsia="Times New Roman" w:hAnsi="Roboto" w:cs="Times New Roman"/>
                <w:color w:val="666666"/>
                <w:sz w:val="22"/>
              </w:rPr>
            </w:pPr>
            <w:r w:rsidRPr="009A0873">
              <w:rPr>
                <w:rFonts w:ascii="Roboto" w:eastAsia="Times New Roman" w:hAnsi="Roboto" w:cs="Times New Roman"/>
                <w:b/>
                <w:bCs/>
                <w:color w:val="000000"/>
                <w:sz w:val="26"/>
                <w:szCs w:val="26"/>
              </w:rPr>
              <w:t>Ghi Chú</w:t>
            </w:r>
          </w:p>
        </w:tc>
      </w:tr>
    </w:tbl>
    <w:p w:rsidR="009A0873" w:rsidRPr="009A0873" w:rsidRDefault="009A0873" w:rsidP="009A0873">
      <w:pPr>
        <w:shd w:val="clear" w:color="auto" w:fill="FFFFFF"/>
        <w:spacing w:after="12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4"/>
          <w:szCs w:val="24"/>
        </w:rPr>
        <w:t> </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Giá trị hợp đồng tạm tính: </w:t>
      </w:r>
      <w:r w:rsidRPr="009A0873">
        <w:rPr>
          <w:rFonts w:ascii="Roboto" w:eastAsia="Times New Roman" w:hAnsi="Roboto" w:cs="Times New Roman"/>
          <w:b/>
          <w:bCs/>
          <w:color w:val="000000"/>
          <w:sz w:val="29"/>
          <w:szCs w:val="29"/>
        </w:rPr>
        <w:t>đ</w:t>
      </w:r>
      <w:r w:rsidRPr="009A0873">
        <w:rPr>
          <w:rFonts w:ascii="Roboto" w:eastAsia="Times New Roman" w:hAnsi="Roboto" w:cs="Times New Roman"/>
          <w:b/>
          <w:bCs/>
          <w:i/>
          <w:iCs/>
          <w:color w:val="000000"/>
          <w:sz w:val="29"/>
          <w:szCs w:val="29"/>
        </w:rPr>
        <w:t>. (Bằng chữ:…</w:t>
      </w:r>
      <w:r w:rsidRPr="009A0873">
        <w:rPr>
          <w:rFonts w:ascii="Roboto" w:eastAsia="Times New Roman" w:hAnsi="Roboto" w:cs="Times New Roman"/>
          <w:i/>
          <w:iCs/>
          <w:color w:val="000000"/>
          <w:sz w:val="29"/>
          <w:szCs w:val="29"/>
        </w:rPr>
        <w:t>. )</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i/>
          <w:iCs/>
          <w:color w:val="000000"/>
          <w:sz w:val="29"/>
          <w:szCs w:val="29"/>
        </w:rPr>
        <w:t>Giá trị trên chưa  bao gồm thuế VAT 10% .</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i/>
          <w:iCs/>
          <w:color w:val="000000"/>
          <w:sz w:val="29"/>
          <w:szCs w:val="29"/>
        </w:rPr>
        <w:t>Giá trị trên là giá trị tạm tính của hợp đồng. Giá trị thực tế sẽ căn cứ vào khối lượng nghiệm thu thực tế tại công trình.</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i/>
          <w:iCs/>
          <w:color w:val="000000"/>
          <w:sz w:val="29"/>
          <w:szCs w:val="29"/>
        </w:rPr>
        <w:lastRenderedPageBreak/>
        <w:t>Giá trị hợp đồng tạm tính này chỉ áp dụng khối lượng vật tư tương ứng trong hợp đồng và sẽ không có giá trị khi phát sinh thêm khối lượng vật tư và công việc khác.</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Thời gian bắt đầu thi công: 3 ngày kể từ khi bên A thanh toán tiền tạm ứng cho bên B.</w:t>
      </w:r>
    </w:p>
    <w:p w:rsidR="009A0873" w:rsidRPr="009A0873" w:rsidRDefault="009A0873" w:rsidP="009A0873">
      <w:pPr>
        <w:shd w:val="clear" w:color="auto" w:fill="FFFFFF"/>
        <w:spacing w:after="0" w:line="240" w:lineRule="auto"/>
        <w:outlineLvl w:val="3"/>
        <w:rPr>
          <w:rFonts w:ascii="Roboto" w:eastAsia="Times New Roman" w:hAnsi="Roboto" w:cs="Times New Roman"/>
          <w:b/>
          <w:bCs/>
          <w:color w:val="000000"/>
          <w:sz w:val="27"/>
          <w:szCs w:val="27"/>
        </w:rPr>
      </w:pPr>
      <w:r w:rsidRPr="009A0873">
        <w:rPr>
          <w:rFonts w:ascii="Roboto" w:eastAsia="Times New Roman" w:hAnsi="Roboto" w:cs="Times New Roman"/>
          <w:b/>
          <w:bCs/>
          <w:color w:val="000000"/>
          <w:sz w:val="32"/>
          <w:szCs w:val="32"/>
        </w:rPr>
        <w:t>2.2. Phương thức thanh toán:</w:t>
      </w:r>
    </w:p>
    <w:p w:rsidR="009A0873" w:rsidRPr="009A0873" w:rsidRDefault="009A0873" w:rsidP="009A0873">
      <w:pPr>
        <w:numPr>
          <w:ilvl w:val="0"/>
          <w:numId w:val="2"/>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b/>
          <w:bCs/>
          <w:color w:val="000000"/>
          <w:sz w:val="29"/>
          <w:szCs w:val="29"/>
        </w:rPr>
        <w:t>Thời hạn thanh toán: </w:t>
      </w:r>
      <w:r w:rsidRPr="009A0873">
        <w:rPr>
          <w:rFonts w:ascii="Roboto" w:eastAsia="Times New Roman" w:hAnsi="Roboto" w:cs="Times New Roman"/>
          <w:color w:val="000000"/>
          <w:sz w:val="29"/>
          <w:szCs w:val="29"/>
        </w:rPr>
        <w:t>Bên A thanh toán cho bên B như sau:</w:t>
      </w:r>
    </w:p>
    <w:p w:rsidR="009A0873" w:rsidRPr="009A0873" w:rsidRDefault="009A0873" w:rsidP="009A0873">
      <w:pPr>
        <w:numPr>
          <w:ilvl w:val="0"/>
          <w:numId w:val="3"/>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b/>
          <w:bCs/>
          <w:color w:val="000000"/>
          <w:sz w:val="29"/>
          <w:szCs w:val="29"/>
        </w:rPr>
        <w:t>Đợt 1</w:t>
      </w:r>
      <w:r w:rsidRPr="009A0873">
        <w:rPr>
          <w:rFonts w:ascii="Roboto" w:eastAsia="Times New Roman" w:hAnsi="Roboto" w:cs="Times New Roman"/>
          <w:color w:val="000000"/>
          <w:sz w:val="29"/>
          <w:szCs w:val="29"/>
        </w:rPr>
        <w:t>: Sau khi kí hợp đồng Bên A tạm ứng 50% giá trị tạm tính của hợp đồng cho Bên B.</w:t>
      </w:r>
    </w:p>
    <w:p w:rsidR="009A0873" w:rsidRPr="009A0873" w:rsidRDefault="009A0873" w:rsidP="009A0873">
      <w:pPr>
        <w:numPr>
          <w:ilvl w:val="0"/>
          <w:numId w:val="3"/>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b/>
          <w:bCs/>
          <w:color w:val="000000"/>
          <w:sz w:val="29"/>
          <w:szCs w:val="29"/>
        </w:rPr>
        <w:t>Đợt 2</w:t>
      </w:r>
      <w:r w:rsidRPr="009A0873">
        <w:rPr>
          <w:rFonts w:ascii="Roboto" w:eastAsia="Times New Roman" w:hAnsi="Roboto" w:cs="Times New Roman"/>
          <w:color w:val="000000"/>
          <w:sz w:val="29"/>
          <w:szCs w:val="29"/>
        </w:rPr>
        <w:t>: Sau khi Bên B thi công hoàn thiện các hạng mục trong hợp đồng và không có phát sinh gì thêm. Thì bên A thanh toán nốt 50% còn lại giá trị của hợp đồng.</w:t>
      </w:r>
    </w:p>
    <w:p w:rsidR="009A0873" w:rsidRPr="009A0873" w:rsidRDefault="009A0873" w:rsidP="009A0873">
      <w:pPr>
        <w:numPr>
          <w:ilvl w:val="0"/>
          <w:numId w:val="3"/>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b/>
          <w:bCs/>
          <w:color w:val="000000"/>
          <w:sz w:val="29"/>
          <w:szCs w:val="29"/>
        </w:rPr>
        <w:t>Đợt 3</w:t>
      </w:r>
      <w:r w:rsidRPr="009A0873">
        <w:rPr>
          <w:rFonts w:ascii="Roboto" w:eastAsia="Times New Roman" w:hAnsi="Roboto" w:cs="Times New Roman"/>
          <w:color w:val="000000"/>
          <w:sz w:val="29"/>
          <w:szCs w:val="29"/>
        </w:rPr>
        <w:t>: Nếu khối lượng phát sinh của Bên A trên 100m2 kính cường lực thì Bên A sẽ phải tạm ứng thêm 50% khối lượng phát sinh cho bên B . Sau khi Bên B hoàn thiện phần phát sinh và toàn bộ hợp đồng Bên A phải thanh toán nốt giá trị phát sinh và giá trị tương ứng còn lại của hợp đồng.</w:t>
      </w:r>
    </w:p>
    <w:p w:rsidR="009A0873" w:rsidRPr="009A0873" w:rsidRDefault="009A0873" w:rsidP="009A0873">
      <w:pPr>
        <w:numPr>
          <w:ilvl w:val="0"/>
          <w:numId w:val="4"/>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b/>
          <w:bCs/>
          <w:color w:val="000000"/>
          <w:sz w:val="29"/>
          <w:szCs w:val="29"/>
        </w:rPr>
        <w:t>b</w:t>
      </w:r>
      <w:r w:rsidRPr="009A0873">
        <w:rPr>
          <w:rFonts w:ascii="Roboto" w:eastAsia="Times New Roman" w:hAnsi="Roboto" w:cs="Times New Roman"/>
          <w:color w:val="000000"/>
          <w:sz w:val="29"/>
          <w:szCs w:val="29"/>
        </w:rPr>
        <w:t>. </w:t>
      </w:r>
      <w:r w:rsidRPr="009A0873">
        <w:rPr>
          <w:rFonts w:ascii="Roboto" w:eastAsia="Times New Roman" w:hAnsi="Roboto" w:cs="Times New Roman"/>
          <w:b/>
          <w:bCs/>
          <w:color w:val="000000"/>
          <w:sz w:val="29"/>
          <w:szCs w:val="29"/>
        </w:rPr>
        <w:t>Phương thức thanh toán</w:t>
      </w:r>
      <w:r w:rsidRPr="009A0873">
        <w:rPr>
          <w:rFonts w:ascii="Roboto" w:eastAsia="Times New Roman" w:hAnsi="Roboto" w:cs="Times New Roman"/>
          <w:color w:val="000000"/>
          <w:sz w:val="29"/>
          <w:szCs w:val="29"/>
        </w:rPr>
        <w:t>: Chuyển khoản/tiền mặt.</w:t>
      </w:r>
    </w:p>
    <w:p w:rsidR="009A0873" w:rsidRPr="009A0873" w:rsidRDefault="009A0873" w:rsidP="009A0873">
      <w:pPr>
        <w:shd w:val="clear" w:color="auto" w:fill="FFFFFF"/>
        <w:spacing w:after="0" w:line="240" w:lineRule="auto"/>
        <w:outlineLvl w:val="2"/>
        <w:rPr>
          <w:rFonts w:ascii="Roboto" w:eastAsia="Times New Roman" w:hAnsi="Roboto" w:cs="Times New Roman"/>
          <w:b/>
          <w:bCs/>
          <w:color w:val="000000"/>
          <w:sz w:val="30"/>
          <w:szCs w:val="30"/>
        </w:rPr>
      </w:pPr>
      <w:r w:rsidRPr="009A0873">
        <w:rPr>
          <w:rFonts w:ascii="Roboto" w:eastAsia="Times New Roman" w:hAnsi="Roboto" w:cs="Times New Roman"/>
          <w:b/>
          <w:bCs/>
          <w:color w:val="000000"/>
          <w:sz w:val="36"/>
          <w:szCs w:val="36"/>
        </w:rPr>
        <w:t>ĐIỀU III: CHẤT LƯỢNG VÀ YÊU CẦU KỸ THUẬT THI CÔNG</w:t>
      </w:r>
    </w:p>
    <w:p w:rsidR="009A0873" w:rsidRPr="009A0873" w:rsidRDefault="009A0873" w:rsidP="009A0873">
      <w:pPr>
        <w:numPr>
          <w:ilvl w:val="0"/>
          <w:numId w:val="5"/>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Thi công theo đúng hồ sơ bản vẽ thiết kế kỹ thuật, mỹ thuật, chất lượng đã được Chủ đầu tư phê duyệt.</w:t>
      </w:r>
    </w:p>
    <w:p w:rsidR="009A0873" w:rsidRPr="009A0873" w:rsidRDefault="009A0873" w:rsidP="009A0873">
      <w:pPr>
        <w:numPr>
          <w:ilvl w:val="0"/>
          <w:numId w:val="5"/>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Chất lượng công trình đảm bảo theo đúng các quy trình, quy phạm và tiêu chuẩn hiện hành của Nhà nước quy định</w:t>
      </w:r>
    </w:p>
    <w:p w:rsidR="009A0873" w:rsidRPr="009A0873" w:rsidRDefault="009A0873" w:rsidP="009A0873">
      <w:pPr>
        <w:numPr>
          <w:ilvl w:val="0"/>
          <w:numId w:val="5"/>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Vật liệu đưa vào sử dụng cho công trình đảm bảo các tiêu chuẩn của hồ sơ thiết kế được phê duyệt và yêu cầu của bên A.</w:t>
      </w:r>
    </w:p>
    <w:p w:rsidR="009A0873" w:rsidRPr="009A0873" w:rsidRDefault="009A0873" w:rsidP="009A0873">
      <w:pPr>
        <w:shd w:val="clear" w:color="auto" w:fill="FFFFFF"/>
        <w:spacing w:after="0" w:line="240" w:lineRule="auto"/>
        <w:outlineLvl w:val="2"/>
        <w:rPr>
          <w:rFonts w:ascii="Roboto" w:eastAsia="Times New Roman" w:hAnsi="Roboto" w:cs="Times New Roman"/>
          <w:b/>
          <w:bCs/>
          <w:color w:val="000000"/>
          <w:sz w:val="30"/>
          <w:szCs w:val="30"/>
        </w:rPr>
      </w:pPr>
      <w:r w:rsidRPr="009A0873">
        <w:rPr>
          <w:rFonts w:ascii="Roboto" w:eastAsia="Times New Roman" w:hAnsi="Roboto" w:cs="Times New Roman"/>
          <w:b/>
          <w:bCs/>
          <w:color w:val="000000"/>
          <w:sz w:val="36"/>
          <w:szCs w:val="36"/>
        </w:rPr>
        <w:t>ĐIỀU IV: BẢO HÀNH SẢN PHẨM</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b/>
          <w:bCs/>
          <w:color w:val="000000"/>
          <w:sz w:val="29"/>
          <w:szCs w:val="29"/>
        </w:rPr>
        <w:t>4.1. Thời hạn bảo hành và các quy định về bảo hành:</w:t>
      </w:r>
    </w:p>
    <w:p w:rsidR="009A0873" w:rsidRPr="009A0873" w:rsidRDefault="009A0873" w:rsidP="009A0873">
      <w:pPr>
        <w:numPr>
          <w:ilvl w:val="0"/>
          <w:numId w:val="6"/>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b/>
          <w:bCs/>
          <w:color w:val="000000"/>
          <w:sz w:val="29"/>
          <w:szCs w:val="29"/>
        </w:rPr>
        <w:t>Thời gian bảo hành</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Thời gian bảo hành: 2 năm</w:t>
      </w:r>
    </w:p>
    <w:p w:rsidR="009A0873" w:rsidRPr="009A0873" w:rsidRDefault="009A0873" w:rsidP="009A0873">
      <w:pPr>
        <w:numPr>
          <w:ilvl w:val="0"/>
          <w:numId w:val="7"/>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b/>
          <w:bCs/>
          <w:color w:val="000000"/>
          <w:sz w:val="29"/>
          <w:szCs w:val="29"/>
        </w:rPr>
        <w:t>Phạm vi bảo hành:</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Các sản phẩm do bên B lắp đặt được bảo hành do lỗi của nhà cung cấp.</w:t>
      </w:r>
    </w:p>
    <w:p w:rsidR="009A0873" w:rsidRPr="009A0873" w:rsidRDefault="009A0873" w:rsidP="009A0873">
      <w:pPr>
        <w:numPr>
          <w:ilvl w:val="0"/>
          <w:numId w:val="8"/>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b/>
          <w:bCs/>
          <w:color w:val="000000"/>
          <w:sz w:val="29"/>
          <w:szCs w:val="29"/>
        </w:rPr>
        <w:t>Phạm vi không bảo hành Sản phẩm không</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Sản phẩm không bảo hành trong trường hợp bị hỏng hóc do lỗi người sử dụng. hoặc bên thứ ba cố tình hay vô tình gây hỏng. sử dụng các hóa chất không đúng với hướng dẫn của nhà sản xuất. Vận hành sai hướng dẫn, người sử dụng tự ý chỉnh sửa lấy. Và các hư hại xảy ra trong các trường hợp bất khả kháng như thiên tai, bão lụt, hỏa hoạn, động đất…</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b/>
          <w:bCs/>
          <w:color w:val="000000"/>
          <w:sz w:val="29"/>
          <w:szCs w:val="29"/>
        </w:rPr>
        <w:lastRenderedPageBreak/>
        <w:t>4.2. Điều khoản hỗ trợ khách hàng:</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 Bên B sẽ hỗ trợ sửa chữa, thay thế sản phẩm cho bên A trong trường hợp bị hỏng hóc, hư hại không thuộc phạm vi trách nhiệm bảo hành của bên B. Toàn bộ chi phí sửa chữa thay thế như chi phí sản xuất, vật tư, đóng gói, vận chuyển nhân công, đi 3lại, ăn ở… của cán bộ kỹ thuật của bên B sẽ do bên A chi trả.</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b/>
          <w:bCs/>
          <w:color w:val="000000"/>
          <w:sz w:val="29"/>
          <w:szCs w:val="29"/>
        </w:rPr>
        <w:t>4.3 Khắc phục lỗi:</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 Bất cứ khi nào trong quá trình </w:t>
      </w:r>
      <w:hyperlink r:id="rId5" w:history="1">
        <w:r w:rsidRPr="009A0873">
          <w:rPr>
            <w:rFonts w:ascii="Roboto" w:eastAsia="Times New Roman" w:hAnsi="Roboto" w:cs="Times New Roman"/>
            <w:b/>
            <w:bCs/>
            <w:color w:val="000000"/>
            <w:sz w:val="29"/>
            <w:szCs w:val="29"/>
          </w:rPr>
          <w:t>thi công nhôm kính</w:t>
        </w:r>
      </w:hyperlink>
      <w:r w:rsidRPr="009A0873">
        <w:rPr>
          <w:rFonts w:ascii="Roboto" w:eastAsia="Times New Roman" w:hAnsi="Roboto" w:cs="Times New Roman"/>
          <w:color w:val="000000"/>
          <w:sz w:val="29"/>
          <w:szCs w:val="29"/>
        </w:rPr>
        <w:t>.  Bên A có thể thông báo cho bên B về bất kỳ lỗi nào. Nếu không khắc phục được những lỗi đối với công việc cần hoàn thành trong trong thời gian quy định. Thì bên A sẽ thực hiện những việc cần thiết để khắc phục. Và bên B phải chịu toàn bộ chi phí cho việc khắc phục lỗi đó. Bên B sẽ phải bồi thường, mà bên A sẽ không bỏ ra bất cứ chi phi nào, đối với những lỗi phát sinh từ việc sử dụng nguyên liệu và công nhân của bên B.</w:t>
      </w:r>
    </w:p>
    <w:p w:rsidR="009A0873" w:rsidRPr="009A0873" w:rsidRDefault="009A0873" w:rsidP="009A0873">
      <w:pPr>
        <w:shd w:val="clear" w:color="auto" w:fill="FFFFFF"/>
        <w:spacing w:after="0" w:line="240" w:lineRule="auto"/>
        <w:outlineLvl w:val="2"/>
        <w:rPr>
          <w:rFonts w:ascii="Roboto" w:eastAsia="Times New Roman" w:hAnsi="Roboto" w:cs="Times New Roman"/>
          <w:b/>
          <w:bCs/>
          <w:color w:val="000000"/>
          <w:sz w:val="30"/>
          <w:szCs w:val="30"/>
        </w:rPr>
      </w:pPr>
      <w:r w:rsidRPr="009A0873">
        <w:rPr>
          <w:rFonts w:ascii="Roboto" w:eastAsia="Times New Roman" w:hAnsi="Roboto" w:cs="Times New Roman"/>
          <w:b/>
          <w:bCs/>
          <w:color w:val="000000"/>
          <w:sz w:val="36"/>
          <w:szCs w:val="36"/>
        </w:rPr>
        <w:t>ĐIỀU V: TRÁCH NHIỆM CỦA MỖI BÊN </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b/>
          <w:bCs/>
          <w:color w:val="000000"/>
          <w:sz w:val="29"/>
          <w:szCs w:val="29"/>
        </w:rPr>
        <w:t>5.1. Trách nhiệm của bên A</w:t>
      </w:r>
    </w:p>
    <w:p w:rsidR="009A0873" w:rsidRPr="009A0873" w:rsidRDefault="009A0873" w:rsidP="009A0873">
      <w:pPr>
        <w:numPr>
          <w:ilvl w:val="0"/>
          <w:numId w:val="9"/>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Thanh toán đầy đủ cho bên B đúng với điều 4 của hợp đồng.</w:t>
      </w:r>
    </w:p>
    <w:p w:rsidR="009A0873" w:rsidRPr="009A0873" w:rsidRDefault="009A0873" w:rsidP="009A0873">
      <w:pPr>
        <w:numPr>
          <w:ilvl w:val="0"/>
          <w:numId w:val="9"/>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Bàn giao mặt bằng bên B tiến hành thi công</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b/>
          <w:bCs/>
          <w:color w:val="000000"/>
          <w:sz w:val="29"/>
          <w:szCs w:val="29"/>
        </w:rPr>
        <w:t>5.2. Trách nhiệm của bên B</w:t>
      </w:r>
    </w:p>
    <w:p w:rsidR="009A0873" w:rsidRPr="009A0873" w:rsidRDefault="009A0873" w:rsidP="009A0873">
      <w:pPr>
        <w:numPr>
          <w:ilvl w:val="0"/>
          <w:numId w:val="10"/>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Cung cấp vật tư đúng chủng loại mẫu mã, số lượng và chất lượng</w:t>
      </w:r>
    </w:p>
    <w:p w:rsidR="009A0873" w:rsidRPr="009A0873" w:rsidRDefault="009A0873" w:rsidP="009A0873">
      <w:pPr>
        <w:numPr>
          <w:ilvl w:val="0"/>
          <w:numId w:val="10"/>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Đảm bảo thi công hoàn thiện đúng tiến độ</w:t>
      </w:r>
    </w:p>
    <w:p w:rsidR="009A0873" w:rsidRPr="009A0873" w:rsidRDefault="009A0873" w:rsidP="009A0873">
      <w:pPr>
        <w:numPr>
          <w:ilvl w:val="0"/>
          <w:numId w:val="10"/>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Bên B chỉ có trách nhiệm thi công những phần mà hai bên đã thỏa thuận trong báo giá và hợp đồng. Nếu làm ngoài sẽ tính vào phần phát sinh.</w:t>
      </w:r>
    </w:p>
    <w:p w:rsidR="009A0873" w:rsidRPr="009A0873" w:rsidRDefault="009A0873" w:rsidP="009A0873">
      <w:pPr>
        <w:numPr>
          <w:ilvl w:val="0"/>
          <w:numId w:val="10"/>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Phải đảm bảo tuyệt đối về vấn đề an toàn lao động, vệ sinh môi trường trong quá trình thi công, nếu để xảy ra sự cố bên B phải chịu mọi trách nhiệm trước pháp luật</w:t>
      </w:r>
    </w:p>
    <w:p w:rsidR="009A0873" w:rsidRPr="009A0873" w:rsidRDefault="009A0873" w:rsidP="009A0873">
      <w:pPr>
        <w:numPr>
          <w:ilvl w:val="0"/>
          <w:numId w:val="10"/>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Tổ chức quản lý, bảo vệ vật tư, máy móc thiết bị, tài sản và con người của bên B</w:t>
      </w:r>
    </w:p>
    <w:p w:rsidR="009A0873" w:rsidRPr="009A0873" w:rsidRDefault="009A0873" w:rsidP="009A0873">
      <w:pPr>
        <w:numPr>
          <w:ilvl w:val="0"/>
          <w:numId w:val="10"/>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Bảo hành sản phẩm trong vòng 2 năm kể từ ngày bàn giao công trình đưa vào sử dụng</w:t>
      </w:r>
    </w:p>
    <w:p w:rsidR="009A0873" w:rsidRPr="009A0873" w:rsidRDefault="009A0873" w:rsidP="009A0873">
      <w:pPr>
        <w:numPr>
          <w:ilvl w:val="0"/>
          <w:numId w:val="10"/>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Bên B phải tự mua bảo hiểm cho người và thiết bị của mình</w:t>
      </w:r>
    </w:p>
    <w:p w:rsidR="009A0873" w:rsidRPr="009A0873" w:rsidRDefault="009A0873" w:rsidP="009A0873">
      <w:pPr>
        <w:numPr>
          <w:ilvl w:val="0"/>
          <w:numId w:val="10"/>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Chịu chi phí ăn uống, chỗ ở, sinh hoạt và các chi phí phục vụ thi công</w:t>
      </w:r>
    </w:p>
    <w:p w:rsidR="009A0873" w:rsidRPr="009A0873" w:rsidRDefault="009A0873" w:rsidP="009A0873">
      <w:pPr>
        <w:numPr>
          <w:ilvl w:val="0"/>
          <w:numId w:val="10"/>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Bảo hành sản phẩm theo điều khoản về bảo hành đã nêu trong điều 4 của hợp đồng.</w:t>
      </w:r>
    </w:p>
    <w:p w:rsidR="009A0873" w:rsidRPr="009A0873" w:rsidRDefault="009A0873" w:rsidP="009A0873">
      <w:pPr>
        <w:shd w:val="clear" w:color="auto" w:fill="FFFFFF"/>
        <w:spacing w:after="0" w:line="240" w:lineRule="auto"/>
        <w:outlineLvl w:val="2"/>
        <w:rPr>
          <w:rFonts w:ascii="Roboto" w:eastAsia="Times New Roman" w:hAnsi="Roboto" w:cs="Times New Roman"/>
          <w:b/>
          <w:bCs/>
          <w:color w:val="000000"/>
          <w:sz w:val="30"/>
          <w:szCs w:val="30"/>
        </w:rPr>
      </w:pPr>
      <w:r w:rsidRPr="009A0873">
        <w:rPr>
          <w:rFonts w:ascii="Roboto" w:eastAsia="Times New Roman" w:hAnsi="Roboto" w:cs="Times New Roman"/>
          <w:b/>
          <w:bCs/>
          <w:color w:val="000000"/>
          <w:sz w:val="36"/>
          <w:szCs w:val="36"/>
        </w:rPr>
        <w:t>ĐIỀU VI: TRƯỜNG HỢP BẤT KHẢ KHÁNG</w:t>
      </w:r>
    </w:p>
    <w:p w:rsidR="009A0873" w:rsidRPr="009A0873" w:rsidRDefault="009A0873" w:rsidP="009A0873">
      <w:pPr>
        <w:shd w:val="clear" w:color="auto" w:fill="FFFFFF"/>
        <w:spacing w:after="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 xml:space="preserve">Trường hợp xảy ra các sự kiện bất khả kháng theo quy định của Bộ luật dân sự Việt Nam. Các bên phải có trách nhiệm thông báo cho bên </w:t>
      </w:r>
      <w:r w:rsidRPr="009A0873">
        <w:rPr>
          <w:rFonts w:ascii="Roboto" w:eastAsia="Times New Roman" w:hAnsi="Roboto" w:cs="Times New Roman"/>
          <w:color w:val="000000"/>
          <w:sz w:val="29"/>
          <w:szCs w:val="29"/>
        </w:rPr>
        <w:lastRenderedPageBreak/>
        <w:t>kia bằng văn bản trong thời hạn 03 ngày kể từ ngày xảy ra sự kiện bất khả kháng để có biện pháp phối hợp giải quyết kịp thời.</w:t>
      </w:r>
    </w:p>
    <w:p w:rsidR="009A0873" w:rsidRPr="009A0873" w:rsidRDefault="009A0873" w:rsidP="009A0873">
      <w:pPr>
        <w:shd w:val="clear" w:color="auto" w:fill="FFFFFF"/>
        <w:spacing w:after="0" w:line="240" w:lineRule="auto"/>
        <w:outlineLvl w:val="2"/>
        <w:rPr>
          <w:rFonts w:ascii="Roboto" w:eastAsia="Times New Roman" w:hAnsi="Roboto" w:cs="Times New Roman"/>
          <w:b/>
          <w:bCs/>
          <w:color w:val="000000"/>
          <w:sz w:val="30"/>
          <w:szCs w:val="30"/>
        </w:rPr>
      </w:pPr>
      <w:r w:rsidRPr="009A0873">
        <w:rPr>
          <w:rFonts w:ascii="Roboto" w:eastAsia="Times New Roman" w:hAnsi="Roboto" w:cs="Times New Roman"/>
          <w:b/>
          <w:bCs/>
          <w:color w:val="000000"/>
          <w:sz w:val="36"/>
          <w:szCs w:val="36"/>
        </w:rPr>
        <w:t>ĐIỀU VII: CAM KẾT CHUNG</w:t>
      </w:r>
    </w:p>
    <w:p w:rsidR="009A0873" w:rsidRPr="009A0873" w:rsidRDefault="009A0873" w:rsidP="009A0873">
      <w:pPr>
        <w:numPr>
          <w:ilvl w:val="0"/>
          <w:numId w:val="11"/>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Nếu có gì phát sinh hai bên phải có trách nhiệm báo cho nhau trước 03 ngày để cùng giải quyết trên cơ sở hợp tác cùng có lợi. Trong trường hợp mâu thuẫn phát sinh hai bên không giải quyết được. Sẽ đưa ra tòa án kinh tế tại nơi đặt trụ sở bên A để giải quyết. Mọi phán quyết của tòa án sẽ là kết quả cuối cùng mà các bên phải tuân theo. Mọi chi phí do bên có lỗi chịu. Mọi sửa đổi bổ sung chỉ có giá trị bằng văn bản chính thức giữa các bên.</w:t>
      </w:r>
    </w:p>
    <w:p w:rsidR="009A0873" w:rsidRPr="009A0873" w:rsidRDefault="009A0873" w:rsidP="009A0873">
      <w:pPr>
        <w:numPr>
          <w:ilvl w:val="0"/>
          <w:numId w:val="11"/>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Hợp đồng này sẽ tự động kết thúc khi hai bên hoàn thành toàn bộ nghĩa vụ của mình quy định trong hợp đồng.</w:t>
      </w:r>
    </w:p>
    <w:p w:rsidR="009A0873" w:rsidRPr="009A0873" w:rsidRDefault="009A0873" w:rsidP="009A0873">
      <w:pPr>
        <w:numPr>
          <w:ilvl w:val="0"/>
          <w:numId w:val="11"/>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Bảng Phụ lục kèm theo có giá trị như Phụ lục của hợp đồng. và là một bộ phận không thể tách rời của hợp đồng này.</w:t>
      </w:r>
    </w:p>
    <w:p w:rsidR="009A0873" w:rsidRPr="009A0873" w:rsidRDefault="009A0873" w:rsidP="009A0873">
      <w:pPr>
        <w:numPr>
          <w:ilvl w:val="0"/>
          <w:numId w:val="11"/>
        </w:numPr>
        <w:shd w:val="clear" w:color="auto" w:fill="FFFFFF"/>
        <w:spacing w:after="0" w:line="240" w:lineRule="auto"/>
        <w:ind w:left="1032"/>
        <w:rPr>
          <w:rFonts w:ascii="Roboto" w:eastAsia="Times New Roman" w:hAnsi="Roboto" w:cs="Times New Roman"/>
          <w:color w:val="000000"/>
          <w:sz w:val="24"/>
          <w:szCs w:val="24"/>
        </w:rPr>
      </w:pPr>
      <w:r w:rsidRPr="009A0873">
        <w:rPr>
          <w:rFonts w:ascii="Roboto" w:eastAsia="Times New Roman" w:hAnsi="Roboto" w:cs="Times New Roman"/>
          <w:color w:val="000000"/>
          <w:sz w:val="29"/>
          <w:szCs w:val="29"/>
        </w:rPr>
        <w:t>Hợp đồng này có hiệu lực từ ngày ký. Và được lập thành 02 bản, mỗi bên giữ 01 bản có giá trị pháp lý như nhau.</w:t>
      </w:r>
    </w:p>
    <w:p w:rsidR="009A0873" w:rsidRPr="009A0873" w:rsidRDefault="009A0873" w:rsidP="009A0873">
      <w:pPr>
        <w:shd w:val="clear" w:color="auto" w:fill="FFFFFF"/>
        <w:spacing w:after="120" w:line="240" w:lineRule="auto"/>
        <w:rPr>
          <w:rFonts w:ascii="Roboto" w:eastAsia="Times New Roman" w:hAnsi="Roboto" w:cs="Times New Roman"/>
          <w:color w:val="000000"/>
          <w:sz w:val="24"/>
          <w:szCs w:val="24"/>
        </w:rPr>
      </w:pPr>
      <w:r w:rsidRPr="009A0873">
        <w:rPr>
          <w:rFonts w:ascii="Roboto" w:eastAsia="Times New Roman" w:hAnsi="Roboto" w:cs="Times New Roman"/>
          <w:color w:val="000000"/>
          <w:sz w:val="24"/>
          <w:szCs w:val="24"/>
        </w:rPr>
        <w:t> </w:t>
      </w:r>
    </w:p>
    <w:tbl>
      <w:tblPr>
        <w:tblW w:w="11786" w:type="dxa"/>
        <w:tblCellSpacing w:w="15" w:type="dxa"/>
        <w:shd w:val="clear" w:color="auto" w:fill="FFFFFF"/>
        <w:tblCellMar>
          <w:left w:w="0" w:type="dxa"/>
          <w:right w:w="0" w:type="dxa"/>
        </w:tblCellMar>
        <w:tblLook w:val="04A0" w:firstRow="1" w:lastRow="0" w:firstColumn="1" w:lastColumn="0" w:noHBand="0" w:noVBand="1"/>
      </w:tblPr>
      <w:tblGrid>
        <w:gridCol w:w="5381"/>
        <w:gridCol w:w="6405"/>
      </w:tblGrid>
      <w:tr w:rsidR="009A0873" w:rsidRPr="009A0873" w:rsidTr="009A0873">
        <w:trPr>
          <w:tblCellSpacing w:w="15" w:type="dxa"/>
        </w:trPr>
        <w:tc>
          <w:tcPr>
            <w:tcW w:w="5375" w:type="dxa"/>
            <w:tcBorders>
              <w:bottom w:val="single" w:sz="6" w:space="0" w:color="ECECEC"/>
            </w:tcBorders>
            <w:shd w:val="clear" w:color="auto" w:fill="FFFFFF"/>
            <w:tcMar>
              <w:top w:w="120" w:type="dxa"/>
              <w:left w:w="0" w:type="dxa"/>
              <w:bottom w:w="120" w:type="dxa"/>
              <w:right w:w="120" w:type="dxa"/>
            </w:tcMar>
            <w:vAlign w:val="center"/>
            <w:hideMark/>
          </w:tcPr>
          <w:p w:rsidR="009A0873" w:rsidRPr="009A0873" w:rsidRDefault="009A0873" w:rsidP="009A0873">
            <w:pPr>
              <w:spacing w:after="0" w:line="240" w:lineRule="auto"/>
              <w:rPr>
                <w:rFonts w:ascii="Roboto" w:eastAsia="Times New Roman" w:hAnsi="Roboto" w:cs="Times New Roman"/>
                <w:color w:val="666666"/>
                <w:sz w:val="22"/>
              </w:rPr>
            </w:pPr>
            <w:r w:rsidRPr="009A0873">
              <w:rPr>
                <w:rFonts w:ascii="Roboto" w:eastAsia="Times New Roman" w:hAnsi="Roboto" w:cs="Times New Roman"/>
                <w:b/>
                <w:bCs/>
                <w:color w:val="000000"/>
                <w:sz w:val="26"/>
                <w:szCs w:val="26"/>
              </w:rPr>
              <w:t>                      ĐẠI DIỆN BÊN A</w:t>
            </w:r>
          </w:p>
        </w:tc>
        <w:tc>
          <w:tcPr>
            <w:tcW w:w="6411" w:type="dxa"/>
            <w:tcBorders>
              <w:bottom w:val="single" w:sz="6" w:space="0" w:color="ECECEC"/>
            </w:tcBorders>
            <w:shd w:val="clear" w:color="auto" w:fill="FFFFFF"/>
            <w:tcMar>
              <w:top w:w="120" w:type="dxa"/>
              <w:left w:w="120" w:type="dxa"/>
              <w:bottom w:w="120" w:type="dxa"/>
              <w:right w:w="0" w:type="dxa"/>
            </w:tcMar>
            <w:vAlign w:val="center"/>
            <w:hideMark/>
          </w:tcPr>
          <w:p w:rsidR="009A0873" w:rsidRPr="009A0873" w:rsidRDefault="009A0873" w:rsidP="009A0873">
            <w:pPr>
              <w:spacing w:after="0" w:line="240" w:lineRule="auto"/>
              <w:rPr>
                <w:rFonts w:ascii="Roboto" w:eastAsia="Times New Roman" w:hAnsi="Roboto" w:cs="Times New Roman"/>
                <w:color w:val="666666"/>
                <w:sz w:val="22"/>
              </w:rPr>
            </w:pPr>
            <w:r w:rsidRPr="009A0873">
              <w:rPr>
                <w:rFonts w:ascii="Roboto" w:eastAsia="Times New Roman" w:hAnsi="Roboto" w:cs="Times New Roman"/>
                <w:b/>
                <w:bCs/>
                <w:color w:val="000000"/>
                <w:sz w:val="26"/>
                <w:szCs w:val="26"/>
              </w:rPr>
              <w:t>                     ĐẠI DIỆN BÊN B</w:t>
            </w:r>
          </w:p>
        </w:tc>
      </w:tr>
      <w:tr w:rsidR="009A0873" w:rsidRPr="009A0873" w:rsidTr="009A0873">
        <w:trPr>
          <w:tblCellSpacing w:w="15" w:type="dxa"/>
        </w:trPr>
        <w:tc>
          <w:tcPr>
            <w:tcW w:w="5375" w:type="dxa"/>
            <w:tcBorders>
              <w:bottom w:val="single" w:sz="6" w:space="0" w:color="ECECEC"/>
            </w:tcBorders>
            <w:shd w:val="clear" w:color="auto" w:fill="FFFFFF"/>
            <w:tcMar>
              <w:top w:w="120" w:type="dxa"/>
              <w:left w:w="0" w:type="dxa"/>
              <w:bottom w:w="120" w:type="dxa"/>
              <w:right w:w="120" w:type="dxa"/>
            </w:tcMar>
            <w:vAlign w:val="center"/>
            <w:hideMark/>
          </w:tcPr>
          <w:p w:rsidR="009A0873" w:rsidRPr="009A0873" w:rsidRDefault="009A0873" w:rsidP="009A0873">
            <w:pPr>
              <w:spacing w:after="0" w:line="240" w:lineRule="auto"/>
              <w:rPr>
                <w:rFonts w:ascii="Roboto" w:eastAsia="Times New Roman" w:hAnsi="Roboto" w:cs="Times New Roman"/>
                <w:color w:val="666666"/>
                <w:sz w:val="22"/>
              </w:rPr>
            </w:pPr>
            <w:r w:rsidRPr="009A0873">
              <w:rPr>
                <w:rFonts w:ascii="Roboto" w:eastAsia="Times New Roman" w:hAnsi="Roboto" w:cs="Times New Roman"/>
                <w:b/>
                <w:bCs/>
                <w:color w:val="000000"/>
                <w:sz w:val="26"/>
                <w:szCs w:val="26"/>
              </w:rPr>
              <w:t> </w:t>
            </w:r>
          </w:p>
        </w:tc>
        <w:tc>
          <w:tcPr>
            <w:tcW w:w="6411" w:type="dxa"/>
            <w:tcBorders>
              <w:bottom w:val="single" w:sz="6" w:space="0" w:color="ECECEC"/>
            </w:tcBorders>
            <w:shd w:val="clear" w:color="auto" w:fill="FFFFFF"/>
            <w:tcMar>
              <w:top w:w="120" w:type="dxa"/>
              <w:left w:w="120" w:type="dxa"/>
              <w:bottom w:w="120" w:type="dxa"/>
              <w:right w:w="0" w:type="dxa"/>
            </w:tcMar>
            <w:vAlign w:val="center"/>
            <w:hideMark/>
          </w:tcPr>
          <w:p w:rsidR="009A0873" w:rsidRPr="009A0873" w:rsidRDefault="009A0873" w:rsidP="009A0873">
            <w:pPr>
              <w:spacing w:after="0" w:line="240" w:lineRule="auto"/>
              <w:rPr>
                <w:rFonts w:ascii="Roboto" w:eastAsia="Times New Roman" w:hAnsi="Roboto" w:cs="Times New Roman"/>
                <w:color w:val="666666"/>
                <w:sz w:val="22"/>
              </w:rPr>
            </w:pPr>
            <w:r w:rsidRPr="009A0873">
              <w:rPr>
                <w:rFonts w:ascii="Roboto" w:eastAsia="Times New Roman" w:hAnsi="Roboto" w:cs="Times New Roman"/>
                <w:b/>
                <w:bCs/>
                <w:color w:val="000000"/>
                <w:sz w:val="26"/>
                <w:szCs w:val="26"/>
              </w:rPr>
              <w:t> </w:t>
            </w:r>
          </w:p>
        </w:tc>
      </w:tr>
    </w:tbl>
    <w:p w:rsidR="00DA17EA" w:rsidRDefault="00DA17EA"/>
    <w:sectPr w:rsidR="00DA17E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8CA"/>
    <w:multiLevelType w:val="multilevel"/>
    <w:tmpl w:val="6830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73842"/>
    <w:multiLevelType w:val="multilevel"/>
    <w:tmpl w:val="F930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6247F"/>
    <w:multiLevelType w:val="multilevel"/>
    <w:tmpl w:val="C7D0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C46DA3"/>
    <w:multiLevelType w:val="multilevel"/>
    <w:tmpl w:val="94CA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9D644C"/>
    <w:multiLevelType w:val="multilevel"/>
    <w:tmpl w:val="0BE8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507137"/>
    <w:multiLevelType w:val="multilevel"/>
    <w:tmpl w:val="4B56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0802F7"/>
    <w:multiLevelType w:val="multilevel"/>
    <w:tmpl w:val="B4AA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601371"/>
    <w:multiLevelType w:val="multilevel"/>
    <w:tmpl w:val="0118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117402"/>
    <w:multiLevelType w:val="multilevel"/>
    <w:tmpl w:val="949C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4F58F2"/>
    <w:multiLevelType w:val="multilevel"/>
    <w:tmpl w:val="14A0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0159A4"/>
    <w:multiLevelType w:val="multilevel"/>
    <w:tmpl w:val="787E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3182700">
    <w:abstractNumId w:val="2"/>
  </w:num>
  <w:num w:numId="2" w16cid:durableId="1153909283">
    <w:abstractNumId w:val="6"/>
  </w:num>
  <w:num w:numId="3" w16cid:durableId="2092237281">
    <w:abstractNumId w:val="5"/>
  </w:num>
  <w:num w:numId="4" w16cid:durableId="1395812408">
    <w:abstractNumId w:val="1"/>
  </w:num>
  <w:num w:numId="5" w16cid:durableId="1932348938">
    <w:abstractNumId w:val="8"/>
  </w:num>
  <w:num w:numId="6" w16cid:durableId="212087783">
    <w:abstractNumId w:val="0"/>
  </w:num>
  <w:num w:numId="7" w16cid:durableId="1431928538">
    <w:abstractNumId w:val="4"/>
  </w:num>
  <w:num w:numId="8" w16cid:durableId="1325010538">
    <w:abstractNumId w:val="10"/>
  </w:num>
  <w:num w:numId="9" w16cid:durableId="940146477">
    <w:abstractNumId w:val="9"/>
  </w:num>
  <w:num w:numId="10" w16cid:durableId="811872075">
    <w:abstractNumId w:val="7"/>
  </w:num>
  <w:num w:numId="11" w16cid:durableId="260800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73"/>
    <w:rsid w:val="00717BE8"/>
    <w:rsid w:val="009A0873"/>
    <w:rsid w:val="00A9125F"/>
    <w:rsid w:val="00D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D939C-55EA-4FB7-BEAC-7D8A5C48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087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9A0873"/>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9A0873"/>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873"/>
    <w:rPr>
      <w:rFonts w:eastAsia="Times New Roman" w:cs="Times New Roman"/>
      <w:b/>
      <w:bCs/>
      <w:sz w:val="36"/>
      <w:szCs w:val="36"/>
    </w:rPr>
  </w:style>
  <w:style w:type="character" w:customStyle="1" w:styleId="Heading3Char">
    <w:name w:val="Heading 3 Char"/>
    <w:basedOn w:val="DefaultParagraphFont"/>
    <w:link w:val="Heading3"/>
    <w:uiPriority w:val="9"/>
    <w:rsid w:val="009A0873"/>
    <w:rPr>
      <w:rFonts w:eastAsia="Times New Roman" w:cs="Times New Roman"/>
      <w:b/>
      <w:bCs/>
      <w:sz w:val="27"/>
      <w:szCs w:val="27"/>
    </w:rPr>
  </w:style>
  <w:style w:type="character" w:customStyle="1" w:styleId="Heading4Char">
    <w:name w:val="Heading 4 Char"/>
    <w:basedOn w:val="DefaultParagraphFont"/>
    <w:link w:val="Heading4"/>
    <w:uiPriority w:val="9"/>
    <w:rsid w:val="009A0873"/>
    <w:rPr>
      <w:rFonts w:eastAsia="Times New Roman" w:cs="Times New Roman"/>
      <w:b/>
      <w:bCs/>
      <w:sz w:val="24"/>
      <w:szCs w:val="24"/>
    </w:rPr>
  </w:style>
  <w:style w:type="paragraph" w:styleId="NormalWeb">
    <w:name w:val="Normal (Web)"/>
    <w:basedOn w:val="Normal"/>
    <w:uiPriority w:val="99"/>
    <w:semiHidden/>
    <w:unhideWhenUsed/>
    <w:rsid w:val="009A087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A0873"/>
    <w:rPr>
      <w:b/>
      <w:bCs/>
    </w:rPr>
  </w:style>
  <w:style w:type="character" w:styleId="Emphasis">
    <w:name w:val="Emphasis"/>
    <w:basedOn w:val="DefaultParagraphFont"/>
    <w:uiPriority w:val="20"/>
    <w:qFormat/>
    <w:rsid w:val="009A0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nhcuonglucquangnamphat.com/giai-phap-thi-cong-so-1-vach-va-cua-kinh-cuong-luc-van-phong-hien-na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2022-11-24T09:28:00Z</dcterms:created>
  <dcterms:modified xsi:type="dcterms:W3CDTF">2022-11-24T09:30:00Z</dcterms:modified>
</cp:coreProperties>
</file>